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58" w:rsidRDefault="004214CB" w:rsidP="003118F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-585470</wp:posOffset>
            </wp:positionV>
            <wp:extent cx="609600" cy="685800"/>
            <wp:effectExtent l="19050" t="0" r="0" b="0"/>
            <wp:wrapNone/>
            <wp:docPr id="4" name="Immagine 4" descr="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2B5" w:rsidRDefault="004214CB" w:rsidP="001042B5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4pt;margin-top:10.6pt;width:600.9pt;height:148.8pt;z-index:-251657216" stroked="f">
            <v:textbox style="mso-next-textbox:#_x0000_s1030">
              <w:txbxContent>
                <w:p w:rsidR="001042B5" w:rsidRPr="00AC7742" w:rsidRDefault="001042B5" w:rsidP="001042B5">
                  <w:pPr>
                    <w:ind w:left="-120" w:right="-26"/>
                    <w:jc w:val="center"/>
                    <w:rPr>
                      <w:rFonts w:ascii="Tahoma" w:hAnsi="Tahoma" w:cs="Tahoma"/>
                      <w:b/>
                      <w:smallCaps/>
                      <w:shadow/>
                      <w:color w:val="000080"/>
                      <w:sz w:val="40"/>
                      <w:szCs w:val="40"/>
                    </w:rPr>
                  </w:pPr>
                  <w:r w:rsidRPr="0055235D">
                    <w:rPr>
                      <w:rFonts w:ascii="Tahoma" w:hAnsi="Tahoma" w:cs="Tahoma"/>
                      <w:b/>
                      <w:smallCaps/>
                      <w:shadow/>
                      <w:color w:val="000080"/>
                      <w:spacing w:val="20"/>
                      <w:sz w:val="40"/>
                      <w:szCs w:val="40"/>
                    </w:rPr>
                    <w:t>Istituto</w:t>
                  </w:r>
                  <w:r w:rsidRPr="00AC7742">
                    <w:rPr>
                      <w:rFonts w:ascii="Tahoma" w:hAnsi="Tahoma" w:cs="Tahoma"/>
                      <w:b/>
                      <w:smallCaps/>
                      <w:shadow/>
                      <w:color w:val="000080"/>
                      <w:sz w:val="40"/>
                      <w:szCs w:val="40"/>
                    </w:rPr>
                    <w:t xml:space="preserve">   </w:t>
                  </w:r>
                  <w:r w:rsidRPr="0055235D">
                    <w:rPr>
                      <w:rFonts w:ascii="Tahoma" w:hAnsi="Tahoma" w:cs="Tahoma"/>
                      <w:b/>
                      <w:smallCaps/>
                      <w:shadow/>
                      <w:color w:val="000080"/>
                      <w:spacing w:val="20"/>
                      <w:sz w:val="40"/>
                      <w:szCs w:val="40"/>
                    </w:rPr>
                    <w:t>Tecnico</w:t>
                  </w:r>
                  <w:r w:rsidRPr="00AC7742">
                    <w:rPr>
                      <w:rFonts w:ascii="Tahoma" w:hAnsi="Tahoma" w:cs="Tahoma"/>
                      <w:b/>
                      <w:smallCaps/>
                      <w:shadow/>
                      <w:color w:val="000080"/>
                      <w:sz w:val="40"/>
                      <w:szCs w:val="40"/>
                    </w:rPr>
                    <w:t xml:space="preserve">   </w:t>
                  </w:r>
                  <w:r w:rsidRPr="0055235D">
                    <w:rPr>
                      <w:rFonts w:ascii="Tahoma" w:hAnsi="Tahoma" w:cs="Tahoma"/>
                      <w:b/>
                      <w:smallCaps/>
                      <w:shadow/>
                      <w:color w:val="000080"/>
                      <w:spacing w:val="20"/>
                      <w:sz w:val="40"/>
                      <w:szCs w:val="40"/>
                    </w:rPr>
                    <w:t>Industriale</w:t>
                  </w:r>
                </w:p>
                <w:p w:rsidR="001042B5" w:rsidRPr="0055235D" w:rsidRDefault="001042B5" w:rsidP="001042B5">
                  <w:pPr>
                    <w:ind w:hanging="120"/>
                    <w:jc w:val="center"/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</w:rPr>
                  </w:pPr>
                  <w:r w:rsidRPr="0055235D"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</w:rPr>
                    <w:t>Liceo Scientifico</w:t>
                  </w:r>
                  <w:r w:rsidRPr="0055235D"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  <w:sz w:val="28"/>
                      <w:szCs w:val="28"/>
                    </w:rPr>
                    <w:t xml:space="preserve"> </w:t>
                  </w:r>
                  <w:r w:rsidRPr="0055235D"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  <w:sz w:val="18"/>
                      <w:szCs w:val="18"/>
                    </w:rPr>
                    <w:t>opzione Scienze applicate</w:t>
                  </w:r>
                </w:p>
                <w:p w:rsidR="001042B5" w:rsidRPr="0055235D" w:rsidRDefault="001042B5" w:rsidP="001042B5">
                  <w:pPr>
                    <w:jc w:val="center"/>
                    <w:rPr>
                      <w:spacing w:val="20"/>
                    </w:rPr>
                  </w:pPr>
                  <w:r w:rsidRPr="008E7B01">
                    <w:rPr>
                      <w:rFonts w:ascii="Browallia New" w:hAnsi="Browallia New" w:cs="Browallia New"/>
                      <w:b/>
                      <w:i/>
                      <w:smallCaps/>
                      <w:color w:val="FF0000"/>
                      <w:spacing w:val="20"/>
                      <w:sz w:val="42"/>
                      <w:szCs w:val="44"/>
                    </w:rPr>
                    <w:t xml:space="preserve">Francesco </w:t>
                  </w:r>
                  <w:r w:rsidRPr="0055235D">
                    <w:rPr>
                      <w:rFonts w:ascii="Browallia New" w:hAnsi="Browallia New" w:cs="Browallia New"/>
                      <w:b/>
                      <w:i/>
                      <w:smallCaps/>
                      <w:color w:val="FF0000"/>
                      <w:spacing w:val="20"/>
                      <w:sz w:val="44"/>
                      <w:szCs w:val="44"/>
                    </w:rPr>
                    <w:t>Giordani</w:t>
                  </w:r>
                </w:p>
              </w:txbxContent>
            </v:textbox>
          </v:shape>
        </w:pict>
      </w:r>
    </w:p>
    <w:p w:rsidR="001042B5" w:rsidRDefault="001042B5" w:rsidP="001042B5">
      <w:pPr>
        <w:pStyle w:val="Intestazione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415290</wp:posOffset>
            </wp:positionV>
            <wp:extent cx="1119505" cy="1143000"/>
            <wp:effectExtent l="19050" t="0" r="4445" b="0"/>
            <wp:wrapNone/>
            <wp:docPr id="3" name="Immagine 3" descr="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I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643890</wp:posOffset>
            </wp:positionV>
            <wp:extent cx="990600" cy="673100"/>
            <wp:effectExtent l="19050" t="0" r="0" b="0"/>
            <wp:wrapNone/>
            <wp:docPr id="2" name="Immagine 2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2B5" w:rsidRDefault="001042B5" w:rsidP="001042B5"/>
    <w:p w:rsidR="001042B5" w:rsidRDefault="001042B5" w:rsidP="001042B5">
      <w:pPr>
        <w:rPr>
          <w:sz w:val="28"/>
        </w:rPr>
      </w:pPr>
    </w:p>
    <w:p w:rsidR="001042B5" w:rsidRDefault="001042B5" w:rsidP="001042B5">
      <w:pPr>
        <w:rPr>
          <w:sz w:val="28"/>
        </w:rPr>
      </w:pPr>
    </w:p>
    <w:p w:rsidR="001042B5" w:rsidRDefault="001042B5" w:rsidP="001042B5">
      <w:pPr>
        <w:rPr>
          <w:sz w:val="28"/>
        </w:rPr>
      </w:pPr>
    </w:p>
    <w:p w:rsidR="001042B5" w:rsidRPr="001042B5" w:rsidRDefault="001042B5" w:rsidP="001042B5">
      <w:pPr>
        <w:rPr>
          <w:color w:val="244061" w:themeColor="accent1" w:themeShade="80"/>
          <w:sz w:val="28"/>
          <w:szCs w:val="28"/>
        </w:rPr>
      </w:pPr>
      <w:r w:rsidRPr="001042B5">
        <w:rPr>
          <w:color w:val="244061" w:themeColor="accent1" w:themeShade="80"/>
        </w:rPr>
        <w:t>Indirizzi: Chimica, materiali e biotecnologie -Elettronica ed Elettrotecnica - Informatica e  telecomunicazioni -     Meccanica e Meccatronica - Trasporti e logistica</w:t>
      </w:r>
    </w:p>
    <w:p w:rsidR="001042B5" w:rsidRDefault="001042B5" w:rsidP="003118F2">
      <w:pPr>
        <w:rPr>
          <w:sz w:val="32"/>
          <w:szCs w:val="32"/>
        </w:rPr>
      </w:pPr>
    </w:p>
    <w:p w:rsidR="003118F2" w:rsidRPr="00C31858" w:rsidRDefault="003118F2" w:rsidP="003118F2">
      <w:pPr>
        <w:rPr>
          <w:sz w:val="32"/>
          <w:szCs w:val="32"/>
        </w:rPr>
      </w:pPr>
      <w:r w:rsidRPr="00C31858">
        <w:rPr>
          <w:sz w:val="32"/>
          <w:szCs w:val="32"/>
        </w:rPr>
        <w:t xml:space="preserve">PROGRAMMA  </w:t>
      </w:r>
      <w:proofErr w:type="spellStart"/>
      <w:r w:rsidRPr="00C31858">
        <w:rPr>
          <w:sz w:val="32"/>
          <w:szCs w:val="32"/>
        </w:rPr>
        <w:t>DI</w:t>
      </w:r>
      <w:proofErr w:type="spellEnd"/>
      <w:r w:rsidRPr="00C31858">
        <w:rPr>
          <w:sz w:val="32"/>
          <w:szCs w:val="32"/>
        </w:rPr>
        <w:t xml:space="preserve"> TECNOLOGIE CHIMICHE INDUSTRIALI A.S.2014-2015</w:t>
      </w:r>
    </w:p>
    <w:p w:rsidR="003118F2" w:rsidRDefault="003118F2" w:rsidP="003118F2">
      <w:pPr>
        <w:rPr>
          <w:sz w:val="28"/>
          <w:szCs w:val="28"/>
        </w:rPr>
      </w:pPr>
      <w:r w:rsidRPr="001E09D0">
        <w:rPr>
          <w:sz w:val="28"/>
          <w:szCs w:val="28"/>
        </w:rPr>
        <w:t>Prof:NICOLA ALBANESE</w:t>
      </w:r>
    </w:p>
    <w:p w:rsidR="003118F2" w:rsidRPr="003118F2" w:rsidRDefault="003118F2" w:rsidP="003118F2">
      <w:pPr>
        <w:pStyle w:val="Titolo1"/>
        <w:numPr>
          <w:ilvl w:val="0"/>
          <w:numId w:val="0"/>
        </w:numPr>
        <w:jc w:val="left"/>
        <w:rPr>
          <w:smallCaps/>
          <w:color w:val="000000"/>
          <w:sz w:val="32"/>
          <w:szCs w:val="32"/>
        </w:rPr>
      </w:pPr>
      <w:r w:rsidRPr="003118F2">
        <w:rPr>
          <w:smallCaps/>
          <w:color w:val="000000"/>
          <w:sz w:val="32"/>
          <w:szCs w:val="32"/>
        </w:rPr>
        <w:t>3Ac Chimica</w:t>
      </w:r>
    </w:p>
    <w:p w:rsidR="003118F2" w:rsidRDefault="003118F2" w:rsidP="001042B5">
      <w:pPr>
        <w:pStyle w:val="Didascalia1"/>
        <w:jc w:val="left"/>
        <w:rPr>
          <w:sz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64"/>
      </w:tblGrid>
      <w:tr w:rsidR="003118F2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2" w:rsidRPr="00C31858" w:rsidRDefault="003118F2" w:rsidP="004B109B">
            <w:pPr>
              <w:snapToGrid w:val="0"/>
              <w:jc w:val="both"/>
              <w:rPr>
                <w:rFonts w:ascii="Tahoma" w:hAnsi="Tahoma"/>
                <w:sz w:val="28"/>
                <w:szCs w:val="28"/>
              </w:rPr>
            </w:pPr>
            <w:r w:rsidRPr="00C31858">
              <w:rPr>
                <w:rFonts w:ascii="Tahoma" w:hAnsi="Tahoma"/>
                <w:sz w:val="28"/>
                <w:szCs w:val="28"/>
              </w:rPr>
              <w:t>Grandezze fisiche e sistemi di misura</w:t>
            </w:r>
          </w:p>
        </w:tc>
      </w:tr>
      <w:tr w:rsidR="003118F2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2" w:rsidRDefault="003118F2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Conoscenza delle grandezze fisiche dei sistemi di misura</w:t>
            </w:r>
          </w:p>
        </w:tc>
      </w:tr>
      <w:tr w:rsidR="003118F2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2" w:rsidRDefault="003118F2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e loro interconversione</w:t>
            </w:r>
          </w:p>
        </w:tc>
      </w:tr>
      <w:tr w:rsidR="003118F2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2" w:rsidRDefault="003118F2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Applicazione del sistema internazionale S. I.</w:t>
            </w:r>
          </w:p>
        </w:tc>
      </w:tr>
      <w:tr w:rsidR="003118F2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2" w:rsidRDefault="003118F2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Grandezze fondamentali e derivate nel Sistema </w:t>
            </w:r>
          </w:p>
        </w:tc>
      </w:tr>
      <w:tr w:rsidR="003118F2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2" w:rsidRDefault="003118F2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Internazionale: dimensioni e unità di </w:t>
            </w:r>
            <w:proofErr w:type="spellStart"/>
            <w:r>
              <w:rPr>
                <w:rFonts w:ascii="Tahoma" w:hAnsi="Tahoma"/>
                <w:sz w:val="24"/>
              </w:rPr>
              <w:t>misura.Conversioni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</w:p>
        </w:tc>
      </w:tr>
      <w:tr w:rsidR="003118F2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2" w:rsidRDefault="003118F2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Fra unità diverse. Analisi dimensionale.</w:t>
            </w:r>
          </w:p>
        </w:tc>
      </w:tr>
      <w:tr w:rsidR="003118F2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2" w:rsidRPr="00C31858" w:rsidRDefault="003118F2" w:rsidP="004B109B">
            <w:pPr>
              <w:snapToGrid w:val="0"/>
              <w:jc w:val="both"/>
              <w:rPr>
                <w:rFonts w:ascii="Tahoma" w:hAnsi="Tahoma"/>
                <w:sz w:val="28"/>
                <w:szCs w:val="28"/>
              </w:rPr>
            </w:pPr>
            <w:r w:rsidRPr="00C31858">
              <w:rPr>
                <w:rFonts w:ascii="Tahoma" w:hAnsi="Tahoma"/>
                <w:sz w:val="28"/>
                <w:szCs w:val="28"/>
              </w:rPr>
              <w:t>Statica e dinamica dei fluidi</w:t>
            </w:r>
          </w:p>
        </w:tc>
      </w:tr>
      <w:tr w:rsidR="003118F2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2" w:rsidRDefault="003118F2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Conoscenza dei principi di conservazione dell’energia </w:t>
            </w:r>
          </w:p>
        </w:tc>
      </w:tr>
      <w:tr w:rsidR="003118F2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2" w:rsidRDefault="003118F2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Nella statica e nella dinamica dei fluidi. Moto dei liquidi </w:t>
            </w:r>
          </w:p>
        </w:tc>
      </w:tr>
      <w:tr w:rsidR="003118F2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2" w:rsidRDefault="003118F2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Reali. Perdite di carico distribuite e localizzate.</w:t>
            </w:r>
          </w:p>
        </w:tc>
      </w:tr>
      <w:tr w:rsidR="003118F2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2" w:rsidRDefault="003118F2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Statica dei fluidi. Pressione idrostatica: legge di </w:t>
            </w:r>
            <w:proofErr w:type="spellStart"/>
            <w:r>
              <w:rPr>
                <w:rFonts w:ascii="Tahoma" w:hAnsi="Tahoma"/>
                <w:sz w:val="24"/>
              </w:rPr>
              <w:t>Stevin</w:t>
            </w:r>
            <w:proofErr w:type="spellEnd"/>
            <w:r>
              <w:rPr>
                <w:rFonts w:ascii="Tahoma" w:hAnsi="Tahoma"/>
                <w:sz w:val="24"/>
              </w:rPr>
              <w:t>.</w:t>
            </w:r>
          </w:p>
        </w:tc>
      </w:tr>
      <w:tr w:rsidR="003118F2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2" w:rsidRDefault="003118F2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Equazione della statica dei fluidi. I liquidi in movimento:</w:t>
            </w:r>
          </w:p>
        </w:tc>
      </w:tr>
      <w:tr w:rsidR="003118F2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2" w:rsidRDefault="003118F2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Portata, viscosità. Moto laminare e turbolento. Dinamica</w:t>
            </w:r>
          </w:p>
        </w:tc>
      </w:tr>
      <w:tr w:rsidR="003118F2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2" w:rsidRDefault="003118F2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Dei liquidi. Determinazione delle perdite di carico.</w:t>
            </w:r>
          </w:p>
        </w:tc>
      </w:tr>
      <w:tr w:rsidR="003118F2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2" w:rsidRDefault="003118F2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lastRenderedPageBreak/>
              <w:t>Misura delle portate.</w:t>
            </w:r>
          </w:p>
        </w:tc>
      </w:tr>
    </w:tbl>
    <w:p w:rsidR="003118F2" w:rsidRDefault="003118F2" w:rsidP="003118F2"/>
    <w:p w:rsidR="003118F2" w:rsidRDefault="003118F2" w:rsidP="003118F2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64"/>
      </w:tblGrid>
      <w:tr w:rsidR="00A76E3C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3C" w:rsidRPr="00C31858" w:rsidRDefault="00A76E3C" w:rsidP="004B109B">
            <w:pPr>
              <w:snapToGrid w:val="0"/>
              <w:jc w:val="both"/>
              <w:rPr>
                <w:rFonts w:ascii="Tahoma" w:hAnsi="Tahoma"/>
                <w:sz w:val="28"/>
                <w:szCs w:val="28"/>
              </w:rPr>
            </w:pPr>
            <w:r w:rsidRPr="00C31858">
              <w:rPr>
                <w:rFonts w:ascii="Tahoma" w:hAnsi="Tahoma"/>
                <w:sz w:val="28"/>
                <w:szCs w:val="28"/>
              </w:rPr>
              <w:t>Caratteristiche dei materiali</w:t>
            </w:r>
          </w:p>
        </w:tc>
      </w:tr>
      <w:tr w:rsidR="00A76E3C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3C" w:rsidRDefault="00A76E3C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Descrivere il significato delle principali caratteristiche dei </w:t>
            </w:r>
          </w:p>
        </w:tc>
      </w:tr>
      <w:tr w:rsidR="00A76E3C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3C" w:rsidRDefault="00A76E3C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Materiali. Classificare i materiali in base alle </w:t>
            </w:r>
          </w:p>
        </w:tc>
      </w:tr>
      <w:tr w:rsidR="00A76E3C" w:rsidTr="00C31858">
        <w:trPr>
          <w:cantSplit/>
          <w:trHeight w:hRule="exact" w:val="661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3C" w:rsidRDefault="00A76E3C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Caratteristiche meccaniche, chimiche e </w:t>
            </w:r>
            <w:proofErr w:type="spellStart"/>
            <w:r>
              <w:rPr>
                <w:rFonts w:ascii="Tahoma" w:hAnsi="Tahoma"/>
                <w:sz w:val="24"/>
              </w:rPr>
              <w:t>fisiche.Descrivere</w:t>
            </w:r>
            <w:proofErr w:type="spellEnd"/>
            <w:r>
              <w:rPr>
                <w:rFonts w:ascii="Tahoma" w:hAnsi="Tahoma"/>
                <w:sz w:val="24"/>
              </w:rPr>
              <w:t xml:space="preserve"> i processi corrosivi più comuni.</w:t>
            </w:r>
          </w:p>
        </w:tc>
      </w:tr>
      <w:tr w:rsidR="00A76E3C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3C" w:rsidRDefault="00A76E3C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Caratteristiche meccaniche dei materiali.</w:t>
            </w:r>
          </w:p>
        </w:tc>
      </w:tr>
      <w:tr w:rsidR="00A76E3C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3C" w:rsidRDefault="00A76E3C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Materiali ferrosi. Materiali metallici non ferrosi.</w:t>
            </w:r>
          </w:p>
        </w:tc>
      </w:tr>
      <w:tr w:rsidR="00A76E3C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3C" w:rsidRDefault="00A76E3C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Materie plastiche. I processi corrosivi</w:t>
            </w:r>
          </w:p>
        </w:tc>
      </w:tr>
      <w:tr w:rsidR="00A76E3C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3C" w:rsidRDefault="00A76E3C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Lo stoccaggio e il trasporto dei fluidi</w:t>
            </w:r>
          </w:p>
        </w:tc>
      </w:tr>
      <w:tr w:rsidR="00A76E3C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3C" w:rsidRDefault="00A76E3C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Descrivere le caratteristiche tecniche principali dei </w:t>
            </w:r>
          </w:p>
        </w:tc>
      </w:tr>
      <w:tr w:rsidR="00A76E3C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3C" w:rsidRDefault="00A76E3C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serbatoi più comuni, delle valvole e delle tubazioni</w:t>
            </w:r>
          </w:p>
        </w:tc>
      </w:tr>
      <w:tr w:rsidR="00A76E3C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3C" w:rsidRDefault="00A76E3C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</w:p>
        </w:tc>
      </w:tr>
      <w:tr w:rsidR="00A76E3C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3C" w:rsidRDefault="00A76E3C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Serbatoi di stoccaggio dei fluidi e dei solidi. </w:t>
            </w:r>
          </w:p>
        </w:tc>
      </w:tr>
      <w:tr w:rsidR="00A76E3C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3C" w:rsidRDefault="00A76E3C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Tubazioni per liquidi e gas. Le valvole. </w:t>
            </w:r>
          </w:p>
        </w:tc>
      </w:tr>
      <w:tr w:rsidR="00A76E3C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3C" w:rsidRDefault="00A76E3C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</w:p>
        </w:tc>
      </w:tr>
      <w:tr w:rsidR="00A76E3C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E3C" w:rsidRDefault="00A76E3C" w:rsidP="004B109B">
            <w:pPr>
              <w:snapToGrid w:val="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Separazione solido - liquido</w:t>
            </w:r>
          </w:p>
        </w:tc>
      </w:tr>
      <w:tr w:rsidR="00A76E3C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3C" w:rsidRDefault="00A76E3C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Descrivere i meccanismi di sedimentazione</w:t>
            </w:r>
          </w:p>
        </w:tc>
      </w:tr>
      <w:tr w:rsidR="00A76E3C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3C" w:rsidRDefault="00A76E3C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Descrivere le caratteristiche tecniche principali dei </w:t>
            </w:r>
          </w:p>
        </w:tc>
      </w:tr>
      <w:tr w:rsidR="00A76E3C" w:rsidTr="00C31858">
        <w:trPr>
          <w:cantSplit/>
          <w:trHeight w:hRule="exact" w:val="613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3C" w:rsidRDefault="00A76E3C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Sedimentatori. Classificare le apparecchiature più usate per la filtrazione e la centrifugazione.</w:t>
            </w:r>
          </w:p>
        </w:tc>
      </w:tr>
      <w:tr w:rsidR="00A76E3C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3C" w:rsidRDefault="00A76E3C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La sedimentazione. I sedimentatori. La filtrazione.</w:t>
            </w:r>
          </w:p>
        </w:tc>
      </w:tr>
      <w:tr w:rsidR="00A76E3C" w:rsidTr="00C31858">
        <w:trPr>
          <w:cantSplit/>
          <w:trHeight w:hRule="exact" w:val="454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E3C" w:rsidRDefault="00A76E3C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La centrifugazione.</w:t>
            </w:r>
          </w:p>
        </w:tc>
      </w:tr>
    </w:tbl>
    <w:p w:rsidR="005B2C50" w:rsidRDefault="005B2C50"/>
    <w:p w:rsidR="00A76E3C" w:rsidRDefault="00A76E3C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859"/>
      </w:tblGrid>
      <w:tr w:rsidR="00C31858" w:rsidTr="001042B5">
        <w:trPr>
          <w:cantSplit/>
          <w:trHeight w:hRule="exact" w:val="454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58" w:rsidRPr="00C31858" w:rsidRDefault="00C31858" w:rsidP="004B109B">
            <w:pPr>
              <w:snapToGrid w:val="0"/>
              <w:jc w:val="both"/>
              <w:rPr>
                <w:rFonts w:ascii="Tahoma" w:hAnsi="Tahoma"/>
                <w:sz w:val="28"/>
                <w:szCs w:val="28"/>
              </w:rPr>
            </w:pPr>
            <w:r w:rsidRPr="00C31858">
              <w:rPr>
                <w:rFonts w:ascii="Tahoma" w:hAnsi="Tahoma"/>
                <w:sz w:val="28"/>
                <w:szCs w:val="28"/>
              </w:rPr>
              <w:t>Macchine operatrici</w:t>
            </w:r>
          </w:p>
        </w:tc>
      </w:tr>
      <w:tr w:rsidR="00C31858" w:rsidTr="001042B5">
        <w:trPr>
          <w:cantSplit/>
          <w:trHeight w:hRule="exact" w:val="454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58" w:rsidRDefault="00C31858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 Le caratteristiche funzionali e di impiego delle</w:t>
            </w:r>
          </w:p>
        </w:tc>
      </w:tr>
      <w:tr w:rsidR="00C31858" w:rsidTr="001042B5">
        <w:trPr>
          <w:cantSplit/>
          <w:trHeight w:hRule="exact" w:val="454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58" w:rsidRDefault="00C31858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Pompe alternative e centrifughe.</w:t>
            </w:r>
          </w:p>
        </w:tc>
      </w:tr>
      <w:tr w:rsidR="00C31858" w:rsidTr="001042B5">
        <w:trPr>
          <w:cantSplit/>
          <w:trHeight w:hRule="exact" w:val="454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58" w:rsidRDefault="00C31858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Curve caratteristiche NPSH.</w:t>
            </w:r>
          </w:p>
          <w:p w:rsidR="00C31858" w:rsidRDefault="00C31858" w:rsidP="004B109B">
            <w:pPr>
              <w:jc w:val="both"/>
              <w:rPr>
                <w:rFonts w:ascii="Tahoma" w:hAnsi="Tahoma"/>
                <w:sz w:val="24"/>
              </w:rPr>
            </w:pPr>
          </w:p>
        </w:tc>
      </w:tr>
      <w:tr w:rsidR="00C31858" w:rsidTr="001042B5">
        <w:trPr>
          <w:cantSplit/>
          <w:trHeight w:hRule="exact" w:val="454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58" w:rsidRDefault="00C31858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Conoscenze dei campi di applicazione dei vari tipi di </w:t>
            </w:r>
          </w:p>
        </w:tc>
      </w:tr>
      <w:tr w:rsidR="00C31858" w:rsidTr="001042B5">
        <w:trPr>
          <w:cantSplit/>
          <w:trHeight w:hRule="exact" w:val="454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58" w:rsidRDefault="00C31858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lastRenderedPageBreak/>
              <w:t>pompe. Calcolo della potenza teorica e reale richiesta.</w:t>
            </w:r>
          </w:p>
        </w:tc>
      </w:tr>
      <w:tr w:rsidR="00C31858" w:rsidTr="001042B5">
        <w:trPr>
          <w:cantSplit/>
          <w:trHeight w:hRule="exact" w:val="454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58" w:rsidRDefault="00C31858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La prevalenza. Classificazione e campi di impiego delle </w:t>
            </w:r>
          </w:p>
        </w:tc>
      </w:tr>
      <w:tr w:rsidR="00C31858" w:rsidTr="001042B5">
        <w:trPr>
          <w:cantSplit/>
          <w:trHeight w:hRule="exact" w:val="454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858" w:rsidRDefault="00C31858" w:rsidP="004B109B">
            <w:pPr>
              <w:snapToGrid w:val="0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pompe. Pompe centrifughe. Pompe volumetriche.</w:t>
            </w:r>
          </w:p>
        </w:tc>
      </w:tr>
    </w:tbl>
    <w:p w:rsidR="00A76E3C" w:rsidRDefault="00A76E3C" w:rsidP="00A76E3C"/>
    <w:p w:rsidR="00A76E3C" w:rsidRDefault="00C31858" w:rsidP="00C31858">
      <w:r>
        <w:t xml:space="preserve">CASERTA 10-06-2015                                                                                                              IL DOCENTE </w:t>
      </w:r>
    </w:p>
    <w:p w:rsidR="00C31858" w:rsidRDefault="00C31858" w:rsidP="00C31858">
      <w:pPr>
        <w:jc w:val="right"/>
      </w:pPr>
      <w:r>
        <w:t>PROF. NICOLA ALBANESE</w:t>
      </w:r>
    </w:p>
    <w:p w:rsidR="00A76E3C" w:rsidRDefault="00A76E3C" w:rsidP="00A76E3C"/>
    <w:p w:rsidR="00A76E3C" w:rsidRDefault="00A76E3C" w:rsidP="00A76E3C"/>
    <w:p w:rsidR="00A76E3C" w:rsidRDefault="00A76E3C" w:rsidP="00A76E3C"/>
    <w:sectPr w:rsidR="00A76E3C" w:rsidSect="005B2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18F2"/>
    <w:rsid w:val="001042B5"/>
    <w:rsid w:val="00160B46"/>
    <w:rsid w:val="003118F2"/>
    <w:rsid w:val="003D6C3B"/>
    <w:rsid w:val="004214CB"/>
    <w:rsid w:val="005B2C50"/>
    <w:rsid w:val="00933509"/>
    <w:rsid w:val="00A76E3C"/>
    <w:rsid w:val="00C31858"/>
    <w:rsid w:val="00F1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8F2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118F2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3118F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3118F2"/>
    <w:pPr>
      <w:keepNext/>
      <w:numPr>
        <w:ilvl w:val="3"/>
        <w:numId w:val="1"/>
      </w:numPr>
      <w:suppressAutoHyphens/>
      <w:spacing w:before="120" w:after="120" w:line="240" w:lineRule="auto"/>
      <w:jc w:val="both"/>
      <w:outlineLvl w:val="3"/>
    </w:pPr>
    <w:rPr>
      <w:rFonts w:ascii="Tahoma" w:eastAsia="Times New Roman" w:hAnsi="Tahoma" w:cs="Times New Roman"/>
      <w:sz w:val="28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3118F2"/>
    <w:pPr>
      <w:keepNext/>
      <w:numPr>
        <w:ilvl w:val="4"/>
        <w:numId w:val="1"/>
      </w:numPr>
      <w:suppressAutoHyphens/>
      <w:spacing w:before="120" w:after="120" w:line="240" w:lineRule="auto"/>
      <w:jc w:val="center"/>
      <w:outlineLvl w:val="4"/>
    </w:pPr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3118F2"/>
    <w:pPr>
      <w:keepNext/>
      <w:numPr>
        <w:ilvl w:val="5"/>
        <w:numId w:val="1"/>
      </w:numPr>
      <w:suppressAutoHyphens/>
      <w:spacing w:before="120" w:after="120" w:line="240" w:lineRule="auto"/>
      <w:jc w:val="both"/>
      <w:outlineLvl w:val="5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3118F2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ahoma" w:eastAsia="Times New Roman" w:hAnsi="Tahoma" w:cs="Times New Roman"/>
      <w:b/>
      <w:i/>
      <w:sz w:val="32"/>
      <w:szCs w:val="20"/>
      <w:u w:val="single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3118F2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ahoma" w:eastAsia="Times New Roman" w:hAnsi="Tahoma" w:cs="Times New Roman"/>
      <w:b/>
      <w:i/>
      <w:sz w:val="3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18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3118F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3118F2"/>
    <w:rPr>
      <w:rFonts w:ascii="Tahoma" w:eastAsia="Times New Roman" w:hAnsi="Tahoma" w:cs="Times New Roman"/>
      <w:sz w:val="28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3118F2"/>
    <w:rPr>
      <w:rFonts w:ascii="Tahoma" w:eastAsia="Times New Roman" w:hAnsi="Tahoma" w:cs="Times New Roman"/>
      <w:b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3118F2"/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3118F2"/>
    <w:rPr>
      <w:rFonts w:ascii="Tahoma" w:eastAsia="Times New Roman" w:hAnsi="Tahoma" w:cs="Times New Roman"/>
      <w:b/>
      <w:i/>
      <w:sz w:val="32"/>
      <w:szCs w:val="20"/>
      <w:u w:val="single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3118F2"/>
    <w:rPr>
      <w:rFonts w:ascii="Tahoma" w:eastAsia="Times New Roman" w:hAnsi="Tahoma" w:cs="Times New Roman"/>
      <w:b/>
      <w:i/>
      <w:sz w:val="32"/>
      <w:szCs w:val="20"/>
      <w:lang w:eastAsia="ar-SA"/>
    </w:rPr>
  </w:style>
  <w:style w:type="paragraph" w:customStyle="1" w:styleId="Didascalia1">
    <w:name w:val="Didascalia1"/>
    <w:basedOn w:val="Normale"/>
    <w:next w:val="Normale"/>
    <w:rsid w:val="003118F2"/>
    <w:pPr>
      <w:suppressAutoHyphens/>
      <w:spacing w:after="0" w:line="360" w:lineRule="auto"/>
      <w:jc w:val="center"/>
    </w:pPr>
    <w:rPr>
      <w:rFonts w:ascii="Tahoma" w:eastAsia="Times New Roman" w:hAnsi="Tahoma" w:cs="Times New Roman"/>
      <w:b/>
      <w:sz w:val="28"/>
      <w:szCs w:val="20"/>
      <w:lang w:eastAsia="ar-SA"/>
    </w:rPr>
  </w:style>
  <w:style w:type="character" w:styleId="Collegamentoipertestuale">
    <w:name w:val="Hyperlink"/>
    <w:basedOn w:val="Carpredefinitoparagrafo"/>
    <w:rsid w:val="001042B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042B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042B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6FB5B-6710-417F-9FF4-445186AA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HWSFT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3</cp:revision>
  <dcterms:created xsi:type="dcterms:W3CDTF">2015-06-07T18:28:00Z</dcterms:created>
  <dcterms:modified xsi:type="dcterms:W3CDTF">2015-06-08T18:21:00Z</dcterms:modified>
</cp:coreProperties>
</file>